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71" w:rsidRDefault="00B60971" w:rsidP="00B60971">
      <w:pPr>
        <w:shd w:val="clear" w:color="auto" w:fill="FFFFFF"/>
        <w:spacing w:after="150" w:line="360" w:lineRule="atLeast"/>
        <w:jc w:val="center"/>
        <w:rPr>
          <w:rFonts w:ascii="Roboto Slab" w:eastAsia="Times New Roman" w:hAnsi="Roboto Slab" w:cs="Times New Roman"/>
          <w:b/>
          <w:bCs/>
          <w:color w:val="6A0032"/>
          <w:sz w:val="32"/>
          <w:szCs w:val="32"/>
        </w:rPr>
      </w:pPr>
      <w:r>
        <w:rPr>
          <w:rFonts w:ascii="Roboto Slab" w:eastAsia="Times New Roman" w:hAnsi="Roboto Slab" w:cs="Times New Roman"/>
          <w:b/>
          <w:bCs/>
          <w:color w:val="6A0032"/>
          <w:sz w:val="32"/>
          <w:szCs w:val="32"/>
        </w:rPr>
        <w:t>Central Michigan University</w:t>
      </w:r>
    </w:p>
    <w:p w:rsidR="00B60971" w:rsidRDefault="00B60971" w:rsidP="00B60971">
      <w:pPr>
        <w:shd w:val="clear" w:color="auto" w:fill="FFFFFF"/>
        <w:spacing w:after="150" w:line="360" w:lineRule="atLeast"/>
        <w:rPr>
          <w:rFonts w:ascii="Roboto Slab" w:eastAsia="Times New Roman" w:hAnsi="Roboto Slab" w:cs="Times New Roman"/>
          <w:b/>
          <w:bCs/>
          <w:color w:val="6A0032"/>
          <w:sz w:val="32"/>
          <w:szCs w:val="32"/>
        </w:rPr>
      </w:pPr>
    </w:p>
    <w:p w:rsidR="00B60971" w:rsidRPr="00B60971" w:rsidRDefault="00B60971" w:rsidP="00B60971">
      <w:pPr>
        <w:shd w:val="clear" w:color="auto" w:fill="FFFFFF"/>
        <w:spacing w:after="150" w:line="360" w:lineRule="atLeast"/>
        <w:rPr>
          <w:rFonts w:ascii="Roboto Slab" w:eastAsia="Times New Roman" w:hAnsi="Roboto Slab" w:cs="Times New Roman"/>
          <w:b/>
          <w:bCs/>
          <w:color w:val="6A0032"/>
          <w:sz w:val="32"/>
          <w:szCs w:val="32"/>
        </w:rPr>
      </w:pPr>
      <w:r w:rsidRPr="00B60971">
        <w:rPr>
          <w:rFonts w:ascii="Roboto Slab" w:eastAsia="Times New Roman" w:hAnsi="Roboto Slab" w:cs="Times New Roman"/>
          <w:b/>
          <w:bCs/>
          <w:color w:val="6A0032"/>
          <w:sz w:val="32"/>
          <w:szCs w:val="32"/>
        </w:rPr>
        <w:t>CMU - Cost of Attendance</w:t>
      </w:r>
    </w:p>
    <w:p w:rsidR="00B60971" w:rsidRPr="00B60971" w:rsidRDefault="00B60971" w:rsidP="00B60971">
      <w:pPr>
        <w:shd w:val="clear" w:color="auto" w:fill="FFFFFF"/>
        <w:spacing w:after="0" w:line="360" w:lineRule="atLeast"/>
        <w:rPr>
          <w:rFonts w:ascii="Oxygen" w:eastAsia="Times New Roman" w:hAnsi="Oxygen" w:cs="Times New Roman"/>
          <w:vanish/>
          <w:color w:val="000000"/>
          <w:sz w:val="21"/>
          <w:szCs w:val="21"/>
        </w:rPr>
      </w:pPr>
      <w:r w:rsidRPr="00B60971">
        <w:rPr>
          <w:rFonts w:ascii="Oxygen" w:eastAsia="Times New Roman" w:hAnsi="Oxygen" w:cs="Times New Roman"/>
          <w:vanish/>
          <w:color w:val="000000"/>
          <w:sz w:val="21"/>
          <w:szCs w:val="21"/>
        </w:rPr>
        <w:t>Page Content</w:t>
      </w:r>
    </w:p>
    <w:p w:rsidR="00B60971" w:rsidRPr="00B60971" w:rsidRDefault="00B60971" w:rsidP="00B60971">
      <w:pPr>
        <w:shd w:val="clear" w:color="auto" w:fill="FFFFFF"/>
        <w:spacing w:before="100" w:beforeAutospacing="1" w:after="100" w:afterAutospacing="1" w:line="360" w:lineRule="atLeast"/>
        <w:rPr>
          <w:rFonts w:ascii="Oxygen" w:eastAsia="Times New Roman" w:hAnsi="Oxygen" w:cs="Times New Roman"/>
          <w:color w:val="000000"/>
          <w:sz w:val="21"/>
          <w:szCs w:val="21"/>
        </w:rPr>
      </w:pPr>
      <w:r w:rsidRPr="00B60971">
        <w:rPr>
          <w:rFonts w:ascii="Oxygen" w:eastAsia="Times New Roman" w:hAnsi="Oxygen" w:cs="Times New Roman"/>
          <w:b/>
          <w:bCs/>
          <w:color w:val="000000"/>
          <w:sz w:val="21"/>
          <w:szCs w:val="21"/>
        </w:rPr>
        <w:t xml:space="preserve">The CMU Promise </w:t>
      </w:r>
      <w:r w:rsidRPr="00B60971">
        <w:rPr>
          <w:rFonts w:ascii="Oxygen" w:eastAsia="Times New Roman" w:hAnsi="Oxygen" w:cs="Times New Roman"/>
          <w:color w:val="000000"/>
          <w:sz w:val="21"/>
          <w:szCs w:val="21"/>
        </w:rPr>
        <w:t xml:space="preserve">(CMU's tuition plan for students enrolled from fall 2005 through summer 2008.): a guaranteed, uncomplicated undergraduate tuition plan that provides financial certainty for new and returning students. </w:t>
      </w:r>
    </w:p>
    <w:p w:rsidR="00B60971" w:rsidRPr="00B60971" w:rsidRDefault="00B60971" w:rsidP="00B60971">
      <w:pPr>
        <w:shd w:val="clear" w:color="auto" w:fill="FFFFFF"/>
        <w:spacing w:before="150" w:line="240" w:lineRule="auto"/>
        <w:outlineLvl w:val="2"/>
        <w:rPr>
          <w:rFonts w:ascii="Trebuchet MS" w:eastAsia="Times New Roman" w:hAnsi="Trebuchet MS" w:cs="Times New Roman"/>
          <w:b/>
          <w:bCs/>
          <w:color w:val="000000"/>
          <w:sz w:val="27"/>
          <w:szCs w:val="27"/>
        </w:rPr>
      </w:pPr>
      <w:r w:rsidRPr="00B60971">
        <w:rPr>
          <w:rFonts w:ascii="Trebuchet MS" w:eastAsia="Times New Roman" w:hAnsi="Trebuchet MS" w:cs="Times New Roman"/>
          <w:b/>
          <w:bCs/>
          <w:color w:val="000000"/>
          <w:sz w:val="27"/>
          <w:szCs w:val="27"/>
        </w:rPr>
        <w:t>2011-2012 Annual CMU Attendance Costs for New Freshmen, Transfer Students and continuing students whose CMU Promise tuition rate has expired</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114"/>
        <w:gridCol w:w="1035"/>
      </w:tblGrid>
      <w:tr w:rsidR="00B60971" w:rsidRPr="00B60971" w:rsidTr="00B60971">
        <w:trPr>
          <w:gridAfter w:val="1"/>
          <w:tblCellSpacing w:w="15" w:type="dxa"/>
          <w:jc w:val="center"/>
        </w:trPr>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b/>
                <w:bCs/>
                <w:color w:val="000000"/>
                <w:sz w:val="24"/>
                <w:szCs w:val="24"/>
              </w:rPr>
              <w:t>Michigan resident direct attendance costs:</w:t>
            </w:r>
          </w:p>
        </w:tc>
      </w:tr>
      <w:tr w:rsidR="00B60971" w:rsidRPr="00B60971" w:rsidTr="00B60971">
        <w:trPr>
          <w:tblCellSpacing w:w="15" w:type="dxa"/>
          <w:jc w:val="center"/>
        </w:trPr>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t>Tuition</w:t>
            </w:r>
          </w:p>
        </w:tc>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t>$ 10,052</w:t>
            </w:r>
          </w:p>
        </w:tc>
      </w:tr>
      <w:tr w:rsidR="00B60971" w:rsidRPr="00B60971" w:rsidTr="00B60971">
        <w:trPr>
          <w:tblCellSpacing w:w="15" w:type="dxa"/>
          <w:jc w:val="center"/>
        </w:trPr>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t>Room and board</w:t>
            </w:r>
          </w:p>
        </w:tc>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t>8,212</w:t>
            </w:r>
          </w:p>
        </w:tc>
      </w:tr>
      <w:tr w:rsidR="00B60971" w:rsidRPr="00B60971" w:rsidTr="00B60971">
        <w:trPr>
          <w:tblCellSpacing w:w="15" w:type="dxa"/>
          <w:jc w:val="center"/>
        </w:trPr>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t>Books and supplies estimate</w:t>
            </w:r>
          </w:p>
        </w:tc>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t xml:space="preserve">1,000 </w:t>
            </w:r>
          </w:p>
        </w:tc>
      </w:tr>
      <w:tr w:rsidR="00B60971" w:rsidRPr="00B60971" w:rsidTr="00B60971">
        <w:trPr>
          <w:tblCellSpacing w:w="15" w:type="dxa"/>
          <w:jc w:val="center"/>
        </w:trPr>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p>
        </w:tc>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t>________</w:t>
            </w:r>
          </w:p>
        </w:tc>
      </w:tr>
      <w:tr w:rsidR="00B60971" w:rsidRPr="00B60971" w:rsidTr="00B60971">
        <w:trPr>
          <w:tblCellSpacing w:w="15" w:type="dxa"/>
          <w:jc w:val="center"/>
        </w:trPr>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b/>
                <w:bCs/>
                <w:color w:val="000000"/>
                <w:sz w:val="24"/>
                <w:szCs w:val="24"/>
              </w:rPr>
              <w:t>Total Direct Costs</w:t>
            </w:r>
          </w:p>
        </w:tc>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b/>
                <w:bCs/>
                <w:color w:val="000000"/>
                <w:sz w:val="24"/>
                <w:szCs w:val="24"/>
              </w:rPr>
              <w:t>$19,264</w:t>
            </w:r>
          </w:p>
        </w:tc>
      </w:tr>
      <w:tr w:rsidR="00B60971" w:rsidRPr="00B60971" w:rsidTr="00B60971">
        <w:trPr>
          <w:tblCellSpacing w:w="15" w:type="dxa"/>
          <w:jc w:val="center"/>
        </w:trPr>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br/>
            </w:r>
            <w:r w:rsidRPr="00B60971">
              <w:rPr>
                <w:rFonts w:ascii="Oxygen" w:eastAsia="Times New Roman" w:hAnsi="Oxygen" w:cs="Times New Roman"/>
                <w:b/>
                <w:bCs/>
                <w:color w:val="000000"/>
                <w:sz w:val="24"/>
                <w:szCs w:val="24"/>
              </w:rPr>
              <w:t>Other:</w:t>
            </w:r>
          </w:p>
        </w:tc>
        <w:tc>
          <w:tcPr>
            <w:tcW w:w="0" w:type="auto"/>
            <w:vAlign w:val="center"/>
            <w:hideMark/>
          </w:tcPr>
          <w:p w:rsidR="00B60971" w:rsidRPr="00B60971" w:rsidRDefault="00B60971" w:rsidP="00B60971">
            <w:pPr>
              <w:spacing w:after="0" w:line="240" w:lineRule="auto"/>
              <w:rPr>
                <w:rFonts w:ascii="Times New Roman" w:eastAsia="Times New Roman" w:hAnsi="Times New Roman" w:cs="Times New Roman"/>
                <w:sz w:val="20"/>
                <w:szCs w:val="20"/>
              </w:rPr>
            </w:pPr>
          </w:p>
        </w:tc>
      </w:tr>
      <w:tr w:rsidR="00B60971" w:rsidRPr="00B60971" w:rsidTr="00B60971">
        <w:trPr>
          <w:tblCellSpacing w:w="15" w:type="dxa"/>
          <w:jc w:val="center"/>
        </w:trPr>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t>Estimated spending for travel and personal expenses</w:t>
            </w:r>
          </w:p>
        </w:tc>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t>$ 1,292</w:t>
            </w:r>
          </w:p>
        </w:tc>
      </w:tr>
      <w:tr w:rsidR="00B60971" w:rsidRPr="00B60971" w:rsidTr="00B60971">
        <w:trPr>
          <w:tblCellSpacing w:w="15" w:type="dxa"/>
          <w:jc w:val="center"/>
        </w:trPr>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p>
        </w:tc>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t>________</w:t>
            </w:r>
          </w:p>
        </w:tc>
      </w:tr>
      <w:tr w:rsidR="00B60971" w:rsidRPr="00B60971" w:rsidTr="00B60971">
        <w:trPr>
          <w:tblCellSpacing w:w="15" w:type="dxa"/>
          <w:jc w:val="center"/>
        </w:trPr>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b/>
                <w:bCs/>
                <w:color w:val="000000"/>
                <w:sz w:val="24"/>
                <w:szCs w:val="24"/>
              </w:rPr>
              <w:t>Estimated Annual Costs</w:t>
            </w:r>
          </w:p>
        </w:tc>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b/>
                <w:bCs/>
                <w:color w:val="000000"/>
                <w:sz w:val="24"/>
                <w:szCs w:val="24"/>
              </w:rPr>
              <w:t>$20,556</w:t>
            </w:r>
          </w:p>
        </w:tc>
      </w:tr>
    </w:tbl>
    <w:p w:rsidR="00B60971" w:rsidRPr="00B60971" w:rsidRDefault="00B60971" w:rsidP="00B60971">
      <w:pPr>
        <w:shd w:val="clear" w:color="auto" w:fill="FFFFFF"/>
        <w:spacing w:before="100" w:beforeAutospacing="1" w:after="100" w:afterAutospacing="1" w:line="360" w:lineRule="atLeast"/>
        <w:rPr>
          <w:rFonts w:ascii="Oxygen" w:eastAsia="Times New Roman" w:hAnsi="Oxygen" w:cs="Times New Roman"/>
          <w:color w:val="000000"/>
          <w:sz w:val="21"/>
          <w:szCs w:val="21"/>
        </w:rPr>
      </w:pPr>
      <w:proofErr w:type="gramStart"/>
      <w:r w:rsidRPr="00B60971">
        <w:rPr>
          <w:rFonts w:ascii="Oxygen" w:eastAsia="Times New Roman" w:hAnsi="Oxygen" w:cs="Times New Roman"/>
          <w:color w:val="000000"/>
          <w:sz w:val="21"/>
          <w:szCs w:val="21"/>
        </w:rPr>
        <w:t>Based on the 2011-2012 new student tuition (28 credit hours per year at $359 per credit hour) and room and board rates (based on "The Unlimited" meal plan in a standard residence hall).</w:t>
      </w:r>
      <w:proofErr w:type="gramEnd"/>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114"/>
        <w:gridCol w:w="1035"/>
      </w:tblGrid>
      <w:tr w:rsidR="00B60971" w:rsidRPr="00B60971" w:rsidTr="00B60971">
        <w:trPr>
          <w:gridAfter w:val="1"/>
          <w:tblCellSpacing w:w="15" w:type="dxa"/>
          <w:jc w:val="center"/>
        </w:trPr>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b/>
                <w:bCs/>
                <w:color w:val="000000"/>
                <w:sz w:val="24"/>
                <w:szCs w:val="24"/>
              </w:rPr>
              <w:t>Non-Michigan resident direct attendance costs:</w:t>
            </w:r>
          </w:p>
        </w:tc>
      </w:tr>
      <w:tr w:rsidR="00B60971" w:rsidRPr="00B60971" w:rsidTr="00B60971">
        <w:trPr>
          <w:tblCellSpacing w:w="15" w:type="dxa"/>
          <w:jc w:val="center"/>
        </w:trPr>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t>Tuition</w:t>
            </w:r>
          </w:p>
        </w:tc>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t>$22,092</w:t>
            </w:r>
          </w:p>
        </w:tc>
      </w:tr>
      <w:tr w:rsidR="00B60971" w:rsidRPr="00B60971" w:rsidTr="00B60971">
        <w:trPr>
          <w:tblCellSpacing w:w="15" w:type="dxa"/>
          <w:jc w:val="center"/>
        </w:trPr>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t>Room and board</w:t>
            </w:r>
          </w:p>
        </w:tc>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t>8,212</w:t>
            </w:r>
          </w:p>
        </w:tc>
      </w:tr>
      <w:tr w:rsidR="00B60971" w:rsidRPr="00B60971" w:rsidTr="00B60971">
        <w:trPr>
          <w:tblCellSpacing w:w="15" w:type="dxa"/>
          <w:jc w:val="center"/>
        </w:trPr>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t>Books and supplies estimate</w:t>
            </w:r>
          </w:p>
        </w:tc>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t xml:space="preserve">1,000 </w:t>
            </w:r>
          </w:p>
        </w:tc>
      </w:tr>
      <w:tr w:rsidR="00B60971" w:rsidRPr="00B60971" w:rsidTr="00B60971">
        <w:trPr>
          <w:tblCellSpacing w:w="15" w:type="dxa"/>
          <w:jc w:val="center"/>
        </w:trPr>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p>
        </w:tc>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t>________</w:t>
            </w:r>
          </w:p>
        </w:tc>
      </w:tr>
      <w:tr w:rsidR="00B60971" w:rsidRPr="00B60971" w:rsidTr="00B60971">
        <w:trPr>
          <w:tblCellSpacing w:w="15" w:type="dxa"/>
          <w:jc w:val="center"/>
        </w:trPr>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b/>
                <w:bCs/>
                <w:color w:val="000000"/>
                <w:sz w:val="24"/>
                <w:szCs w:val="24"/>
              </w:rPr>
              <w:t>Total Direct Costs</w:t>
            </w:r>
          </w:p>
        </w:tc>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b/>
                <w:bCs/>
                <w:color w:val="000000"/>
                <w:sz w:val="24"/>
                <w:szCs w:val="24"/>
              </w:rPr>
              <w:t>$31,304</w:t>
            </w:r>
          </w:p>
        </w:tc>
      </w:tr>
      <w:tr w:rsidR="00B60971" w:rsidRPr="00B60971" w:rsidTr="00B60971">
        <w:trPr>
          <w:tblCellSpacing w:w="15" w:type="dxa"/>
          <w:jc w:val="center"/>
        </w:trPr>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br/>
            </w:r>
            <w:r w:rsidRPr="00B60971">
              <w:rPr>
                <w:rFonts w:ascii="Oxygen" w:eastAsia="Times New Roman" w:hAnsi="Oxygen" w:cs="Times New Roman"/>
                <w:b/>
                <w:bCs/>
                <w:color w:val="000000"/>
                <w:sz w:val="24"/>
                <w:szCs w:val="24"/>
              </w:rPr>
              <w:t>Other:</w:t>
            </w:r>
          </w:p>
        </w:tc>
        <w:tc>
          <w:tcPr>
            <w:tcW w:w="0" w:type="auto"/>
            <w:vAlign w:val="center"/>
            <w:hideMark/>
          </w:tcPr>
          <w:p w:rsidR="00B60971" w:rsidRPr="00B60971" w:rsidRDefault="00B60971" w:rsidP="00B60971">
            <w:pPr>
              <w:spacing w:after="0" w:line="240" w:lineRule="auto"/>
              <w:rPr>
                <w:rFonts w:ascii="Times New Roman" w:eastAsia="Times New Roman" w:hAnsi="Times New Roman" w:cs="Times New Roman"/>
                <w:sz w:val="20"/>
                <w:szCs w:val="20"/>
              </w:rPr>
            </w:pPr>
          </w:p>
        </w:tc>
      </w:tr>
      <w:tr w:rsidR="00B60971" w:rsidRPr="00B60971" w:rsidTr="00B60971">
        <w:trPr>
          <w:tblCellSpacing w:w="15" w:type="dxa"/>
          <w:jc w:val="center"/>
        </w:trPr>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t>Estimated spending for travel and personal expenses</w:t>
            </w:r>
          </w:p>
        </w:tc>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t>$ 1,750</w:t>
            </w:r>
          </w:p>
        </w:tc>
      </w:tr>
      <w:tr w:rsidR="00B60971" w:rsidRPr="00B60971" w:rsidTr="00B60971">
        <w:trPr>
          <w:tblCellSpacing w:w="15" w:type="dxa"/>
          <w:jc w:val="center"/>
        </w:trPr>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p>
        </w:tc>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color w:val="000000"/>
                <w:sz w:val="24"/>
                <w:szCs w:val="24"/>
              </w:rPr>
              <w:t>________</w:t>
            </w:r>
          </w:p>
        </w:tc>
      </w:tr>
      <w:tr w:rsidR="00B60971" w:rsidRPr="00B60971" w:rsidTr="00B60971">
        <w:trPr>
          <w:tblCellSpacing w:w="15" w:type="dxa"/>
          <w:jc w:val="center"/>
        </w:trPr>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b/>
                <w:bCs/>
                <w:color w:val="000000"/>
                <w:sz w:val="24"/>
                <w:szCs w:val="24"/>
              </w:rPr>
              <w:t>Estimated Annual Costs</w:t>
            </w:r>
          </w:p>
        </w:tc>
        <w:tc>
          <w:tcPr>
            <w:tcW w:w="0" w:type="auto"/>
            <w:vAlign w:val="center"/>
            <w:hideMark/>
          </w:tcPr>
          <w:p w:rsidR="00B60971" w:rsidRPr="00B60971" w:rsidRDefault="00B60971" w:rsidP="00B60971">
            <w:pPr>
              <w:spacing w:after="0" w:line="240" w:lineRule="auto"/>
              <w:rPr>
                <w:rFonts w:ascii="Oxygen" w:eastAsia="Times New Roman" w:hAnsi="Oxygen" w:cs="Times New Roman"/>
                <w:color w:val="000000"/>
                <w:sz w:val="24"/>
                <w:szCs w:val="24"/>
              </w:rPr>
            </w:pPr>
            <w:r w:rsidRPr="00B60971">
              <w:rPr>
                <w:rFonts w:ascii="Oxygen" w:eastAsia="Times New Roman" w:hAnsi="Oxygen" w:cs="Times New Roman"/>
                <w:b/>
                <w:bCs/>
                <w:color w:val="000000"/>
                <w:sz w:val="24"/>
                <w:szCs w:val="24"/>
              </w:rPr>
              <w:t>$33,054</w:t>
            </w:r>
          </w:p>
        </w:tc>
      </w:tr>
    </w:tbl>
    <w:p w:rsidR="00B60971" w:rsidRDefault="00B60971" w:rsidP="00B60971">
      <w:pPr>
        <w:shd w:val="clear" w:color="auto" w:fill="FFFFFF"/>
        <w:spacing w:before="100" w:beforeAutospacing="1" w:after="100" w:afterAutospacing="1" w:line="360" w:lineRule="atLeast"/>
        <w:rPr>
          <w:rFonts w:ascii="Oxygen" w:eastAsia="Times New Roman" w:hAnsi="Oxygen" w:cs="Times New Roman"/>
          <w:color w:val="000000"/>
          <w:sz w:val="21"/>
          <w:szCs w:val="21"/>
        </w:rPr>
      </w:pPr>
      <w:r w:rsidRPr="00B60971">
        <w:rPr>
          <w:rFonts w:ascii="Oxygen" w:eastAsia="Times New Roman" w:hAnsi="Oxygen" w:cs="Times New Roman"/>
          <w:color w:val="000000"/>
          <w:sz w:val="21"/>
          <w:szCs w:val="21"/>
        </w:rPr>
        <w:t>*Based on actual continuing student tuition (28 credit hours per year at $789 per credit hour) and room and board rates (based on "The Unlimited" meal plan in a standard residence hall for continuing students).</w:t>
      </w:r>
    </w:p>
    <w:p w:rsidR="00B60971" w:rsidRDefault="00B60971" w:rsidP="00B60971">
      <w:pPr>
        <w:shd w:val="clear" w:color="auto" w:fill="FFFFFF"/>
        <w:spacing w:before="100" w:beforeAutospacing="1" w:after="100" w:afterAutospacing="1" w:line="360" w:lineRule="atLeast"/>
        <w:rPr>
          <w:rFonts w:ascii="Oxygen" w:eastAsia="Times New Roman" w:hAnsi="Oxygen" w:cs="Times New Roman"/>
          <w:color w:val="000000"/>
          <w:sz w:val="21"/>
          <w:szCs w:val="21"/>
        </w:rPr>
      </w:pPr>
    </w:p>
    <w:p w:rsidR="00B60971" w:rsidRDefault="00B60971" w:rsidP="00B60971">
      <w:pPr>
        <w:shd w:val="clear" w:color="auto" w:fill="FFFFFF"/>
        <w:spacing w:before="150" w:after="150" w:line="240" w:lineRule="auto"/>
        <w:outlineLvl w:val="2"/>
        <w:rPr>
          <w:rFonts w:ascii="Roboto Slab" w:eastAsia="Times New Roman" w:hAnsi="Roboto Slab" w:cs="Times New Roman"/>
          <w:b/>
          <w:bCs/>
          <w:color w:val="660033"/>
          <w:sz w:val="30"/>
          <w:szCs w:val="30"/>
        </w:rPr>
      </w:pPr>
    </w:p>
    <w:p w:rsidR="00B60971" w:rsidRDefault="00B60971" w:rsidP="00B60971">
      <w:pPr>
        <w:shd w:val="clear" w:color="auto" w:fill="FFFFFF"/>
        <w:spacing w:before="150" w:after="150" w:line="240" w:lineRule="auto"/>
        <w:outlineLvl w:val="2"/>
        <w:rPr>
          <w:rFonts w:ascii="Roboto Slab" w:eastAsia="Times New Roman" w:hAnsi="Roboto Slab" w:cs="Times New Roman"/>
          <w:b/>
          <w:bCs/>
          <w:color w:val="660033"/>
          <w:sz w:val="30"/>
          <w:szCs w:val="30"/>
        </w:rPr>
      </w:pPr>
      <w:r w:rsidRPr="00B60971">
        <w:rPr>
          <w:rFonts w:ascii="Roboto Slab" w:eastAsia="Times New Roman" w:hAnsi="Roboto Slab" w:cs="Times New Roman"/>
          <w:b/>
          <w:bCs/>
          <w:color w:val="660033"/>
          <w:sz w:val="30"/>
          <w:szCs w:val="30"/>
        </w:rPr>
        <w:lastRenderedPageBreak/>
        <w:t>CMU Scholarships for New Students</w:t>
      </w:r>
      <w:r w:rsidR="00285D5B">
        <w:rPr>
          <w:rFonts w:ascii="Roboto Slab" w:eastAsia="Times New Roman" w:hAnsi="Roboto Slab" w:cs="Times New Roman"/>
          <w:b/>
          <w:bCs/>
          <w:color w:val="660033"/>
          <w:sz w:val="30"/>
          <w:szCs w:val="30"/>
        </w:rPr>
        <w:t xml:space="preserve"> – </w:t>
      </w:r>
      <w:r w:rsidR="00285D5B" w:rsidRPr="00285D5B">
        <w:rPr>
          <w:rFonts w:ascii="Roboto Slab" w:eastAsia="Times New Roman" w:hAnsi="Roboto Slab" w:cs="Times New Roman"/>
          <w:b/>
          <w:bCs/>
          <w:color w:val="660033"/>
          <w:sz w:val="32"/>
          <w:szCs w:val="30"/>
        </w:rPr>
        <w:t>(</w:t>
      </w:r>
      <w:r w:rsidR="00285D5B" w:rsidRPr="00285D5B">
        <w:rPr>
          <w:rFonts w:ascii="Roboto Slab" w:eastAsia="Times New Roman" w:hAnsi="Roboto Slab" w:cs="Times New Roman"/>
          <w:b/>
          <w:bCs/>
          <w:color w:val="660033"/>
          <w:sz w:val="44"/>
          <w:szCs w:val="30"/>
        </w:rPr>
        <w:t>Sample</w:t>
      </w:r>
      <w:r w:rsidR="00285D5B" w:rsidRPr="00285D5B">
        <w:rPr>
          <w:rFonts w:ascii="Roboto Slab" w:eastAsia="Times New Roman" w:hAnsi="Roboto Slab" w:cs="Times New Roman"/>
          <w:b/>
          <w:bCs/>
          <w:color w:val="660033"/>
          <w:sz w:val="32"/>
          <w:szCs w:val="30"/>
        </w:rPr>
        <w:t>)</w:t>
      </w:r>
    </w:p>
    <w:p w:rsidR="00285D5B" w:rsidRDefault="00285D5B" w:rsidP="00B60971">
      <w:pPr>
        <w:shd w:val="clear" w:color="auto" w:fill="FFFFFF"/>
        <w:spacing w:before="150" w:after="150" w:line="240" w:lineRule="auto"/>
        <w:outlineLvl w:val="2"/>
        <w:rPr>
          <w:rFonts w:ascii="Roboto Slab" w:eastAsia="Times New Roman" w:hAnsi="Roboto Slab" w:cs="Times New Roman"/>
          <w:b/>
          <w:bCs/>
          <w:color w:val="660033"/>
          <w:sz w:val="30"/>
          <w:szCs w:val="30"/>
        </w:rPr>
      </w:pPr>
      <w:r>
        <w:rPr>
          <w:rFonts w:ascii="Roboto Slab" w:eastAsia="Times New Roman" w:hAnsi="Roboto Slab" w:cs="Times New Roman"/>
          <w:b/>
          <w:bCs/>
          <w:color w:val="660033"/>
          <w:sz w:val="30"/>
          <w:szCs w:val="30"/>
        </w:rPr>
        <w:tab/>
        <w:t xml:space="preserve">Please see: </w:t>
      </w:r>
      <w:hyperlink r:id="rId6" w:history="1">
        <w:r w:rsidRPr="00904F8F">
          <w:rPr>
            <w:rStyle w:val="Hyperlink"/>
            <w:rFonts w:ascii="Roboto Slab" w:eastAsia="Times New Roman" w:hAnsi="Roboto Slab" w:cs="Times New Roman"/>
            <w:b/>
            <w:bCs/>
            <w:sz w:val="30"/>
            <w:szCs w:val="30"/>
          </w:rPr>
          <w:t>https://www.cmich.edu/ess/OSFA/Pages/CMU_Scholarships.aspx</w:t>
        </w:r>
      </w:hyperlink>
      <w:r>
        <w:rPr>
          <w:rFonts w:ascii="Roboto Slab" w:eastAsia="Times New Roman" w:hAnsi="Roboto Slab" w:cs="Times New Roman"/>
          <w:b/>
          <w:bCs/>
          <w:color w:val="660033"/>
          <w:sz w:val="30"/>
          <w:szCs w:val="30"/>
        </w:rPr>
        <w:t xml:space="preserve"> </w:t>
      </w:r>
    </w:p>
    <w:p w:rsidR="00285D5B" w:rsidRPr="00B60971" w:rsidRDefault="00285D5B" w:rsidP="00B60971">
      <w:pPr>
        <w:shd w:val="clear" w:color="auto" w:fill="FFFFFF"/>
        <w:spacing w:before="150" w:after="150" w:line="240" w:lineRule="auto"/>
        <w:outlineLvl w:val="2"/>
        <w:rPr>
          <w:rFonts w:ascii="Roboto Slab" w:eastAsia="Times New Roman" w:hAnsi="Roboto Slab" w:cs="Times New Roman"/>
          <w:b/>
          <w:bCs/>
          <w:color w:val="660033"/>
          <w:sz w:val="30"/>
          <w:szCs w:val="30"/>
        </w:rPr>
      </w:pPr>
      <w:proofErr w:type="gramStart"/>
      <w:r>
        <w:rPr>
          <w:rFonts w:ascii="Roboto Slab" w:eastAsia="Times New Roman" w:hAnsi="Roboto Slab" w:cs="Times New Roman"/>
          <w:b/>
          <w:bCs/>
          <w:color w:val="660033"/>
          <w:sz w:val="30"/>
          <w:szCs w:val="30"/>
        </w:rPr>
        <w:t>for</w:t>
      </w:r>
      <w:proofErr w:type="gramEnd"/>
      <w:r>
        <w:rPr>
          <w:rFonts w:ascii="Roboto Slab" w:eastAsia="Times New Roman" w:hAnsi="Roboto Slab" w:cs="Times New Roman"/>
          <w:b/>
          <w:bCs/>
          <w:color w:val="660033"/>
          <w:sz w:val="30"/>
          <w:szCs w:val="30"/>
        </w:rPr>
        <w:t xml:space="preserve"> a comprehensive listing of CMU scholarships</w:t>
      </w:r>
    </w:p>
    <w:p w:rsidR="00B60971" w:rsidRPr="00B60971" w:rsidRDefault="00B60971" w:rsidP="00B60971">
      <w:pPr>
        <w:shd w:val="clear" w:color="auto" w:fill="FFFFFF"/>
        <w:spacing w:after="0" w:line="360" w:lineRule="atLeast"/>
        <w:rPr>
          <w:rFonts w:ascii="Oxygen" w:eastAsia="Times New Roman" w:hAnsi="Oxygen" w:cs="Times New Roman"/>
          <w:color w:val="000000"/>
          <w:sz w:val="21"/>
          <w:szCs w:val="21"/>
        </w:rPr>
      </w:pPr>
      <w:r w:rsidRPr="00B60971">
        <w:rPr>
          <w:rFonts w:ascii="Oxygen" w:eastAsia="Times New Roman" w:hAnsi="Oxygen" w:cs="Times New Roman"/>
          <w:b/>
          <w:bCs/>
          <w:color w:val="000000"/>
          <w:sz w:val="21"/>
          <w:szCs w:val="21"/>
        </w:rPr>
        <w:t xml:space="preserve">CMU Scholarship Policy: </w:t>
      </w:r>
      <w:r w:rsidRPr="00B60971">
        <w:rPr>
          <w:rFonts w:ascii="Oxygen" w:eastAsia="Times New Roman" w:hAnsi="Oxygen" w:cs="Times New Roman"/>
          <w:color w:val="000000"/>
          <w:sz w:val="21"/>
          <w:szCs w:val="21"/>
        </w:rPr>
        <w:t xml:space="preserve">Many scholarships are available to CMU students in recognition of their outstanding academic and/or leadership achievement. </w:t>
      </w:r>
    </w:p>
    <w:p w:rsidR="00B60971" w:rsidRPr="00B60971" w:rsidRDefault="00B60971" w:rsidP="00B60971">
      <w:pPr>
        <w:numPr>
          <w:ilvl w:val="0"/>
          <w:numId w:val="1"/>
        </w:numPr>
        <w:shd w:val="clear" w:color="auto" w:fill="FFFFFF"/>
        <w:spacing w:before="100" w:beforeAutospacing="1" w:after="100" w:afterAutospacing="1" w:line="300" w:lineRule="atLeast"/>
        <w:rPr>
          <w:rFonts w:ascii="Oxygen" w:eastAsia="Times New Roman" w:hAnsi="Oxygen" w:cs="Times New Roman"/>
          <w:color w:val="000000"/>
          <w:sz w:val="21"/>
          <w:szCs w:val="21"/>
        </w:rPr>
      </w:pPr>
      <w:r w:rsidRPr="00B60971">
        <w:rPr>
          <w:rFonts w:ascii="Oxygen" w:eastAsia="Times New Roman" w:hAnsi="Oxygen" w:cs="Times New Roman"/>
          <w:color w:val="000000"/>
          <w:sz w:val="21"/>
          <w:szCs w:val="21"/>
        </w:rPr>
        <w:t>Recipients of CMU merit- and talent-based scholarships of a dollar value equal t</w:t>
      </w:r>
      <w:bookmarkStart w:id="0" w:name="_GoBack"/>
      <w:bookmarkEnd w:id="0"/>
      <w:r w:rsidRPr="00B60971">
        <w:rPr>
          <w:rFonts w:ascii="Oxygen" w:eastAsia="Times New Roman" w:hAnsi="Oxygen" w:cs="Times New Roman"/>
          <w:color w:val="000000"/>
          <w:sz w:val="21"/>
          <w:szCs w:val="21"/>
        </w:rPr>
        <w:t xml:space="preserve">o or greater than $2,500 are required to reside on campus during their freshman and sophomore years unless they qualify as commuting students or for another exception to the Campus Residency Policy. </w:t>
      </w:r>
    </w:p>
    <w:p w:rsidR="00B60971" w:rsidRPr="00B60971" w:rsidRDefault="00B60971" w:rsidP="00B60971">
      <w:pPr>
        <w:numPr>
          <w:ilvl w:val="0"/>
          <w:numId w:val="1"/>
        </w:numPr>
        <w:shd w:val="clear" w:color="auto" w:fill="FFFFFF"/>
        <w:spacing w:before="100" w:beforeAutospacing="1" w:after="100" w:afterAutospacing="1" w:line="300" w:lineRule="atLeast"/>
        <w:rPr>
          <w:rFonts w:ascii="Oxygen" w:eastAsia="Times New Roman" w:hAnsi="Oxygen" w:cs="Times New Roman"/>
          <w:color w:val="000000"/>
          <w:sz w:val="21"/>
          <w:szCs w:val="21"/>
        </w:rPr>
      </w:pPr>
      <w:r w:rsidRPr="00B60971">
        <w:rPr>
          <w:rFonts w:ascii="Oxygen" w:eastAsia="Times New Roman" w:hAnsi="Oxygen" w:cs="Times New Roman"/>
          <w:color w:val="000000"/>
          <w:sz w:val="21"/>
          <w:szCs w:val="21"/>
        </w:rPr>
        <w:t xml:space="preserve">Students may receive two renewable merit scholarships. Students who are selected for more than two renewable scholarships may choose the awards of highest value. </w:t>
      </w:r>
    </w:p>
    <w:p w:rsidR="00B60971" w:rsidRPr="00B60971" w:rsidRDefault="00B60971" w:rsidP="00B60971">
      <w:pPr>
        <w:numPr>
          <w:ilvl w:val="0"/>
          <w:numId w:val="1"/>
        </w:numPr>
        <w:shd w:val="clear" w:color="auto" w:fill="FFFFFF"/>
        <w:spacing w:before="100" w:beforeAutospacing="1" w:after="0" w:afterAutospacing="1" w:line="360" w:lineRule="atLeast"/>
        <w:rPr>
          <w:rFonts w:ascii="Oxygen" w:eastAsia="Times New Roman" w:hAnsi="Oxygen" w:cs="Times New Roman"/>
          <w:color w:val="000000"/>
          <w:sz w:val="21"/>
          <w:szCs w:val="21"/>
        </w:rPr>
      </w:pPr>
      <w:r w:rsidRPr="00B60971">
        <w:rPr>
          <w:rFonts w:ascii="Oxygen" w:eastAsia="Times New Roman" w:hAnsi="Oxygen" w:cs="Times New Roman"/>
          <w:color w:val="000000"/>
          <w:sz w:val="21"/>
          <w:szCs w:val="21"/>
        </w:rPr>
        <w:t>Estimated scholarships (i.e., Michigan Competitive and outside agency) do not reduce the amount of tuition payable on September 1 and January 1. Students must make arrangements to pay for the total amount of tuition due to avoid a $100 late tuition fee and a $30 service charge.</w:t>
      </w:r>
    </w:p>
    <w:p w:rsidR="00B60971" w:rsidRPr="00B60971" w:rsidRDefault="00B60971" w:rsidP="00B60971">
      <w:pPr>
        <w:shd w:val="clear" w:color="auto" w:fill="FFFFFF"/>
        <w:spacing w:before="150" w:after="150" w:line="240" w:lineRule="auto"/>
        <w:outlineLvl w:val="2"/>
        <w:rPr>
          <w:rFonts w:ascii="Trebuchet MS" w:eastAsia="Times New Roman" w:hAnsi="Trebuchet MS" w:cs="Times New Roman"/>
          <w:b/>
          <w:bCs/>
          <w:color w:val="000000"/>
          <w:sz w:val="27"/>
          <w:szCs w:val="27"/>
        </w:rPr>
      </w:pPr>
      <w:r w:rsidRPr="00B60971">
        <w:rPr>
          <w:rFonts w:ascii="Trebuchet MS" w:eastAsia="Times New Roman" w:hAnsi="Trebuchet MS" w:cs="Times New Roman"/>
          <w:b/>
          <w:bCs/>
          <w:color w:val="000000"/>
          <w:sz w:val="27"/>
          <w:szCs w:val="27"/>
        </w:rPr>
        <w:t xml:space="preserve">CMU Board of Trustees </w:t>
      </w:r>
      <w:proofErr w:type="spellStart"/>
      <w:r w:rsidRPr="00B60971">
        <w:rPr>
          <w:rFonts w:ascii="Trebuchet MS" w:eastAsia="Times New Roman" w:hAnsi="Trebuchet MS" w:cs="Times New Roman"/>
          <w:b/>
          <w:bCs/>
          <w:color w:val="000000"/>
          <w:sz w:val="27"/>
          <w:szCs w:val="27"/>
        </w:rPr>
        <w:t>Centralis</w:t>
      </w:r>
      <w:proofErr w:type="spellEnd"/>
      <w:r w:rsidRPr="00B60971">
        <w:rPr>
          <w:rFonts w:ascii="Trebuchet MS" w:eastAsia="Times New Roman" w:hAnsi="Trebuchet MS" w:cs="Times New Roman"/>
          <w:b/>
          <w:bCs/>
          <w:color w:val="000000"/>
          <w:sz w:val="27"/>
          <w:szCs w:val="27"/>
        </w:rPr>
        <w:t xml:space="preserve"> Scholarship Program </w:t>
      </w:r>
    </w:p>
    <w:p w:rsidR="00B60971" w:rsidRPr="00B60971" w:rsidRDefault="00B60971" w:rsidP="00B60971">
      <w:pPr>
        <w:shd w:val="clear" w:color="auto" w:fill="FFFFFF"/>
        <w:spacing w:after="240" w:line="360" w:lineRule="atLeast"/>
        <w:rPr>
          <w:rFonts w:ascii="Oxygen" w:eastAsia="Times New Roman" w:hAnsi="Oxygen" w:cs="Times New Roman"/>
          <w:color w:val="000000"/>
          <w:sz w:val="21"/>
          <w:szCs w:val="21"/>
        </w:rPr>
      </w:pPr>
      <w:r w:rsidRPr="00B60971">
        <w:rPr>
          <w:rFonts w:ascii="Oxygen" w:eastAsia="Times New Roman" w:hAnsi="Oxygen" w:cs="Times New Roman"/>
          <w:color w:val="000000"/>
          <w:sz w:val="21"/>
          <w:szCs w:val="21"/>
        </w:rPr>
        <w:t xml:space="preserve">These </w:t>
      </w:r>
      <w:hyperlink r:id="rId7" w:tgtFrame="_blank" w:history="1">
        <w:proofErr w:type="spellStart"/>
        <w:r w:rsidRPr="00B60971">
          <w:rPr>
            <w:rFonts w:ascii="Oxygen" w:eastAsia="Times New Roman" w:hAnsi="Oxygen" w:cs="Times New Roman"/>
            <w:b/>
            <w:bCs/>
            <w:color w:val="660033"/>
            <w:sz w:val="21"/>
            <w:szCs w:val="21"/>
          </w:rPr>
          <w:t>Centralis</w:t>
        </w:r>
        <w:proofErr w:type="spellEnd"/>
      </w:hyperlink>
      <w:r w:rsidRPr="00B60971">
        <w:rPr>
          <w:rFonts w:ascii="Oxygen" w:eastAsia="Times New Roman" w:hAnsi="Oxygen" w:cs="Times New Roman"/>
          <w:color w:val="000000"/>
          <w:sz w:val="21"/>
          <w:szCs w:val="21"/>
        </w:rPr>
        <w:t xml:space="preserve"> scholarships include CMU’s highest merit-based awards. All high school students with grade point averages of 3.7 or higher and ACT of 27 or above are eligible to compete for </w:t>
      </w:r>
      <w:proofErr w:type="spellStart"/>
      <w:r w:rsidRPr="00B60971">
        <w:rPr>
          <w:rFonts w:ascii="Oxygen" w:eastAsia="Times New Roman" w:hAnsi="Oxygen" w:cs="Times New Roman"/>
          <w:color w:val="000000"/>
          <w:sz w:val="21"/>
          <w:szCs w:val="21"/>
        </w:rPr>
        <w:t>Centralis</w:t>
      </w:r>
      <w:proofErr w:type="spellEnd"/>
      <w:r w:rsidRPr="00B60971">
        <w:rPr>
          <w:rFonts w:ascii="Oxygen" w:eastAsia="Times New Roman" w:hAnsi="Oxygen" w:cs="Times New Roman"/>
          <w:color w:val="000000"/>
          <w:sz w:val="21"/>
          <w:szCs w:val="21"/>
        </w:rPr>
        <w:t xml:space="preserve"> Scholar or </w:t>
      </w:r>
      <w:proofErr w:type="spellStart"/>
      <w:r w:rsidRPr="00B60971">
        <w:rPr>
          <w:rFonts w:ascii="Oxygen" w:eastAsia="Times New Roman" w:hAnsi="Oxygen" w:cs="Times New Roman"/>
          <w:color w:val="000000"/>
          <w:sz w:val="21"/>
          <w:szCs w:val="21"/>
        </w:rPr>
        <w:t>Centralis</w:t>
      </w:r>
      <w:proofErr w:type="spellEnd"/>
      <w:r w:rsidRPr="00B60971">
        <w:rPr>
          <w:rFonts w:ascii="Oxygen" w:eastAsia="Times New Roman" w:hAnsi="Oxygen" w:cs="Times New Roman"/>
          <w:color w:val="000000"/>
          <w:sz w:val="21"/>
          <w:szCs w:val="21"/>
        </w:rPr>
        <w:t xml:space="preserve"> Gold awards. Invitations are sent to applicants in the fall.</w:t>
      </w:r>
    </w:p>
    <w:p w:rsidR="00B60971" w:rsidRPr="00B60971" w:rsidRDefault="00B60971" w:rsidP="00B60971">
      <w:pPr>
        <w:shd w:val="clear" w:color="auto" w:fill="FFFFFF"/>
        <w:spacing w:before="150" w:after="150" w:line="240" w:lineRule="auto"/>
        <w:outlineLvl w:val="2"/>
        <w:rPr>
          <w:rFonts w:ascii="Trebuchet MS" w:eastAsia="Times New Roman" w:hAnsi="Trebuchet MS" w:cs="Times New Roman"/>
          <w:b/>
          <w:bCs/>
          <w:color w:val="000000"/>
          <w:sz w:val="27"/>
          <w:szCs w:val="27"/>
        </w:rPr>
      </w:pPr>
      <w:proofErr w:type="spellStart"/>
      <w:r w:rsidRPr="00B60971">
        <w:rPr>
          <w:rFonts w:ascii="Trebuchet MS" w:eastAsia="Times New Roman" w:hAnsi="Trebuchet MS" w:cs="Times New Roman"/>
          <w:b/>
          <w:bCs/>
          <w:color w:val="000000"/>
          <w:sz w:val="27"/>
          <w:szCs w:val="27"/>
        </w:rPr>
        <w:t>Centralis</w:t>
      </w:r>
      <w:proofErr w:type="spellEnd"/>
      <w:r w:rsidRPr="00B60971">
        <w:rPr>
          <w:rFonts w:ascii="Trebuchet MS" w:eastAsia="Times New Roman" w:hAnsi="Trebuchet MS" w:cs="Times New Roman"/>
          <w:b/>
          <w:bCs/>
          <w:color w:val="000000"/>
          <w:sz w:val="27"/>
          <w:szCs w:val="27"/>
        </w:rPr>
        <w:t xml:space="preserve"> Scholar Award</w:t>
      </w:r>
    </w:p>
    <w:p w:rsidR="00B60971" w:rsidRPr="00B60971" w:rsidRDefault="00B60971" w:rsidP="00B60971">
      <w:pPr>
        <w:shd w:val="clear" w:color="auto" w:fill="FFFFFF"/>
        <w:spacing w:after="240" w:line="360" w:lineRule="atLeast"/>
        <w:rPr>
          <w:rFonts w:ascii="Oxygen" w:eastAsia="Times New Roman" w:hAnsi="Oxygen" w:cs="Times New Roman"/>
          <w:color w:val="000000"/>
          <w:sz w:val="21"/>
          <w:szCs w:val="21"/>
        </w:rPr>
      </w:pPr>
      <w:r w:rsidRPr="00B60971">
        <w:rPr>
          <w:rFonts w:ascii="Oxygen" w:eastAsia="Times New Roman" w:hAnsi="Oxygen" w:cs="Times New Roman"/>
          <w:color w:val="000000"/>
          <w:sz w:val="21"/>
          <w:szCs w:val="21"/>
        </w:rPr>
        <w:t xml:space="preserve">Twenty </w:t>
      </w:r>
      <w:hyperlink r:id="rId8" w:tgtFrame="_blank" w:history="1">
        <w:proofErr w:type="spellStart"/>
        <w:r w:rsidRPr="00B60971">
          <w:rPr>
            <w:rFonts w:ascii="Oxygen" w:eastAsia="Times New Roman" w:hAnsi="Oxygen" w:cs="Times New Roman"/>
            <w:b/>
            <w:bCs/>
            <w:color w:val="660033"/>
            <w:sz w:val="21"/>
            <w:szCs w:val="21"/>
          </w:rPr>
          <w:t>Centralis</w:t>
        </w:r>
        <w:proofErr w:type="spellEnd"/>
      </w:hyperlink>
      <w:r w:rsidRPr="00B60971">
        <w:rPr>
          <w:rFonts w:ascii="Oxygen" w:eastAsia="Times New Roman" w:hAnsi="Oxygen" w:cs="Times New Roman"/>
          <w:color w:val="000000"/>
          <w:sz w:val="21"/>
          <w:szCs w:val="21"/>
        </w:rPr>
        <w:t xml:space="preserve"> Scholar Awards are granted annually. The monetary value of this scholarship is equal to the cost of tuition, fees, room and board, and a $500 allowance toward the cost of books and supplies. The scholarship is renewable for three additional consecutive years if a 3.25 cumulative GPA and full-time continuous enrollment are maintained.</w:t>
      </w:r>
    </w:p>
    <w:p w:rsidR="00B60971" w:rsidRPr="00B60971" w:rsidRDefault="00B60971" w:rsidP="00B60971">
      <w:pPr>
        <w:shd w:val="clear" w:color="auto" w:fill="FFFFFF"/>
        <w:spacing w:before="150" w:after="150" w:line="240" w:lineRule="auto"/>
        <w:outlineLvl w:val="2"/>
        <w:rPr>
          <w:rFonts w:ascii="Trebuchet MS" w:eastAsia="Times New Roman" w:hAnsi="Trebuchet MS" w:cs="Times New Roman"/>
          <w:b/>
          <w:bCs/>
          <w:color w:val="000000"/>
          <w:sz w:val="27"/>
          <w:szCs w:val="27"/>
        </w:rPr>
      </w:pPr>
      <w:proofErr w:type="spellStart"/>
      <w:r w:rsidRPr="00B60971">
        <w:rPr>
          <w:rFonts w:ascii="Trebuchet MS" w:eastAsia="Times New Roman" w:hAnsi="Trebuchet MS" w:cs="Times New Roman"/>
          <w:b/>
          <w:bCs/>
          <w:color w:val="000000"/>
          <w:sz w:val="27"/>
          <w:szCs w:val="27"/>
        </w:rPr>
        <w:t>Centralis</w:t>
      </w:r>
      <w:proofErr w:type="spellEnd"/>
      <w:r w:rsidRPr="00B60971">
        <w:rPr>
          <w:rFonts w:ascii="Trebuchet MS" w:eastAsia="Times New Roman" w:hAnsi="Trebuchet MS" w:cs="Times New Roman"/>
          <w:b/>
          <w:bCs/>
          <w:color w:val="000000"/>
          <w:sz w:val="27"/>
          <w:szCs w:val="27"/>
        </w:rPr>
        <w:t xml:space="preserve"> Gold Award</w:t>
      </w:r>
    </w:p>
    <w:p w:rsidR="00B60971" w:rsidRPr="00B60971" w:rsidRDefault="00B60971" w:rsidP="00B60971">
      <w:pPr>
        <w:shd w:val="clear" w:color="auto" w:fill="FFFFFF"/>
        <w:spacing w:after="240" w:line="360" w:lineRule="atLeast"/>
        <w:rPr>
          <w:rFonts w:ascii="Oxygen" w:eastAsia="Times New Roman" w:hAnsi="Oxygen" w:cs="Times New Roman"/>
          <w:color w:val="000000"/>
          <w:sz w:val="21"/>
          <w:szCs w:val="21"/>
        </w:rPr>
      </w:pPr>
      <w:r w:rsidRPr="00B60971">
        <w:rPr>
          <w:rFonts w:ascii="Oxygen" w:eastAsia="Times New Roman" w:hAnsi="Oxygen" w:cs="Times New Roman"/>
          <w:color w:val="000000"/>
          <w:sz w:val="21"/>
          <w:szCs w:val="21"/>
        </w:rPr>
        <w:t xml:space="preserve">Twenty </w:t>
      </w:r>
      <w:hyperlink r:id="rId9" w:tgtFrame="_blank" w:history="1">
        <w:proofErr w:type="spellStart"/>
        <w:r w:rsidRPr="00B60971">
          <w:rPr>
            <w:rFonts w:ascii="Oxygen" w:eastAsia="Times New Roman" w:hAnsi="Oxygen" w:cs="Times New Roman"/>
            <w:b/>
            <w:bCs/>
            <w:color w:val="660033"/>
            <w:sz w:val="21"/>
            <w:szCs w:val="21"/>
          </w:rPr>
          <w:t>Centralis</w:t>
        </w:r>
        <w:proofErr w:type="spellEnd"/>
      </w:hyperlink>
      <w:r w:rsidRPr="00B60971">
        <w:rPr>
          <w:rFonts w:ascii="Oxygen" w:eastAsia="Times New Roman" w:hAnsi="Oxygen" w:cs="Times New Roman"/>
          <w:color w:val="000000"/>
          <w:sz w:val="21"/>
          <w:szCs w:val="21"/>
        </w:rPr>
        <w:t xml:space="preserve"> Gold Awards will be granted annually. The value of this scholarship is equal to the cost of full tuition. The scholarship is renewable for three additional consecutive years if a 3.25 cumulative GPA and full-time continuous enrollment are maintained.</w:t>
      </w:r>
    </w:p>
    <w:p w:rsidR="00B60971" w:rsidRPr="00B60971" w:rsidRDefault="00B60971" w:rsidP="00B60971">
      <w:pPr>
        <w:shd w:val="clear" w:color="auto" w:fill="FFFFFF"/>
        <w:spacing w:before="150" w:after="150" w:line="240" w:lineRule="auto"/>
        <w:outlineLvl w:val="2"/>
        <w:rPr>
          <w:rFonts w:ascii="Trebuchet MS" w:eastAsia="Times New Roman" w:hAnsi="Trebuchet MS" w:cs="Times New Roman"/>
          <w:b/>
          <w:bCs/>
          <w:color w:val="000000"/>
          <w:sz w:val="27"/>
          <w:szCs w:val="27"/>
        </w:rPr>
      </w:pPr>
      <w:r w:rsidRPr="00B60971">
        <w:rPr>
          <w:rFonts w:ascii="Trebuchet MS" w:eastAsia="Times New Roman" w:hAnsi="Trebuchet MS" w:cs="Times New Roman"/>
          <w:b/>
          <w:bCs/>
          <w:color w:val="000000"/>
          <w:sz w:val="27"/>
          <w:szCs w:val="27"/>
        </w:rPr>
        <w:t>CMU Board of Trustees Outstanding High School Student Scholarship</w:t>
      </w:r>
    </w:p>
    <w:p w:rsidR="00B60971" w:rsidRPr="00B60971" w:rsidRDefault="00B60971" w:rsidP="00B60971">
      <w:pPr>
        <w:shd w:val="clear" w:color="auto" w:fill="FFFFFF"/>
        <w:spacing w:before="100" w:beforeAutospacing="1" w:after="100" w:afterAutospacing="1" w:line="360" w:lineRule="atLeast"/>
        <w:rPr>
          <w:rFonts w:ascii="Oxygen" w:eastAsia="Times New Roman" w:hAnsi="Oxygen" w:cs="Times New Roman"/>
          <w:color w:val="000000"/>
          <w:sz w:val="21"/>
          <w:szCs w:val="21"/>
        </w:rPr>
      </w:pPr>
      <w:r w:rsidRPr="00B60971">
        <w:rPr>
          <w:rFonts w:ascii="Oxygen" w:eastAsia="Times New Roman" w:hAnsi="Oxygen" w:cs="Times New Roman"/>
          <w:color w:val="000000"/>
          <w:sz w:val="21"/>
          <w:szCs w:val="21"/>
        </w:rPr>
        <w:t xml:space="preserve">High school seniors who rank first or second in their high school graduating class who enter CMU as freshmen will automatically receive this award. No applications are necessary. The value of the scholarship is $4000 per academic year. The scholarship is renewable for three additional consecutive years if a 3.25 cumulative GPA and full-time continuous enrollment are maintained. The </w:t>
      </w:r>
      <w:proofErr w:type="spellStart"/>
      <w:r w:rsidRPr="00B60971">
        <w:rPr>
          <w:rFonts w:ascii="Oxygen" w:eastAsia="Times New Roman" w:hAnsi="Oxygen" w:cs="Times New Roman"/>
          <w:color w:val="000000"/>
          <w:sz w:val="21"/>
          <w:szCs w:val="21"/>
        </w:rPr>
        <w:t>Centralis</w:t>
      </w:r>
      <w:proofErr w:type="spellEnd"/>
      <w:r w:rsidRPr="00B60971">
        <w:rPr>
          <w:rFonts w:ascii="Oxygen" w:eastAsia="Times New Roman" w:hAnsi="Oxygen" w:cs="Times New Roman"/>
          <w:color w:val="000000"/>
          <w:sz w:val="21"/>
          <w:szCs w:val="21"/>
        </w:rPr>
        <w:t xml:space="preserve"> Scholarship replaces this award.</w:t>
      </w:r>
    </w:p>
    <w:p w:rsidR="00066199" w:rsidRDefault="00285D5B"/>
    <w:sectPr w:rsidR="00066199" w:rsidSect="00B609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Slab">
    <w:altName w:val="Times New Roman"/>
    <w:charset w:val="00"/>
    <w:family w:val="auto"/>
    <w:pitch w:val="default"/>
  </w:font>
  <w:font w:name="Oxygen">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2E33"/>
    <w:multiLevelType w:val="multilevel"/>
    <w:tmpl w:val="27F67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2F1D45"/>
    <w:multiLevelType w:val="multilevel"/>
    <w:tmpl w:val="40160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71"/>
    <w:rsid w:val="00285D5B"/>
    <w:rsid w:val="007E20EE"/>
    <w:rsid w:val="008732D6"/>
    <w:rsid w:val="00B60971"/>
    <w:rsid w:val="00C97FD8"/>
    <w:rsid w:val="00F2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D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D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18156">
      <w:bodyDiv w:val="1"/>
      <w:marLeft w:val="0"/>
      <w:marRight w:val="0"/>
      <w:marTop w:val="0"/>
      <w:marBottom w:val="0"/>
      <w:divBdr>
        <w:top w:val="none" w:sz="0" w:space="0" w:color="auto"/>
        <w:left w:val="none" w:sz="0" w:space="0" w:color="auto"/>
        <w:bottom w:val="none" w:sz="0" w:space="0" w:color="auto"/>
        <w:right w:val="none" w:sz="0" w:space="0" w:color="auto"/>
      </w:divBdr>
      <w:divsChild>
        <w:div w:id="1997029689">
          <w:marLeft w:val="0"/>
          <w:marRight w:val="0"/>
          <w:marTop w:val="0"/>
          <w:marBottom w:val="0"/>
          <w:divBdr>
            <w:top w:val="none" w:sz="0" w:space="0" w:color="auto"/>
            <w:left w:val="none" w:sz="0" w:space="0" w:color="auto"/>
            <w:bottom w:val="none" w:sz="0" w:space="0" w:color="auto"/>
            <w:right w:val="none" w:sz="0" w:space="0" w:color="auto"/>
          </w:divBdr>
          <w:divsChild>
            <w:div w:id="1261989228">
              <w:marLeft w:val="0"/>
              <w:marRight w:val="0"/>
              <w:marTop w:val="0"/>
              <w:marBottom w:val="0"/>
              <w:divBdr>
                <w:top w:val="none" w:sz="0" w:space="0" w:color="auto"/>
                <w:left w:val="none" w:sz="0" w:space="0" w:color="auto"/>
                <w:bottom w:val="none" w:sz="0" w:space="0" w:color="auto"/>
                <w:right w:val="none" w:sz="0" w:space="0" w:color="auto"/>
              </w:divBdr>
              <w:divsChild>
                <w:div w:id="1173761896">
                  <w:marLeft w:val="0"/>
                  <w:marRight w:val="0"/>
                  <w:marTop w:val="0"/>
                  <w:marBottom w:val="0"/>
                  <w:divBdr>
                    <w:top w:val="none" w:sz="0" w:space="0" w:color="auto"/>
                    <w:left w:val="none" w:sz="0" w:space="0" w:color="auto"/>
                    <w:bottom w:val="none" w:sz="0" w:space="0" w:color="auto"/>
                    <w:right w:val="none" w:sz="0" w:space="0" w:color="auto"/>
                  </w:divBdr>
                  <w:divsChild>
                    <w:div w:id="817503276">
                      <w:marLeft w:val="0"/>
                      <w:marRight w:val="0"/>
                      <w:marTop w:val="0"/>
                      <w:marBottom w:val="0"/>
                      <w:divBdr>
                        <w:top w:val="none" w:sz="0" w:space="0" w:color="auto"/>
                        <w:left w:val="none" w:sz="0" w:space="0" w:color="auto"/>
                        <w:bottom w:val="none" w:sz="0" w:space="0" w:color="auto"/>
                        <w:right w:val="none" w:sz="0" w:space="0" w:color="auto"/>
                      </w:divBdr>
                      <w:divsChild>
                        <w:div w:id="1684435884">
                          <w:marLeft w:val="0"/>
                          <w:marRight w:val="0"/>
                          <w:marTop w:val="0"/>
                          <w:marBottom w:val="0"/>
                          <w:divBdr>
                            <w:top w:val="none" w:sz="0" w:space="0" w:color="auto"/>
                            <w:left w:val="none" w:sz="0" w:space="0" w:color="auto"/>
                            <w:bottom w:val="none" w:sz="0" w:space="0" w:color="auto"/>
                            <w:right w:val="none" w:sz="0" w:space="0" w:color="auto"/>
                          </w:divBdr>
                          <w:divsChild>
                            <w:div w:id="358361864">
                              <w:marLeft w:val="0"/>
                              <w:marRight w:val="0"/>
                              <w:marTop w:val="0"/>
                              <w:marBottom w:val="0"/>
                              <w:divBdr>
                                <w:top w:val="none" w:sz="0" w:space="0" w:color="auto"/>
                                <w:left w:val="none" w:sz="0" w:space="0" w:color="auto"/>
                                <w:bottom w:val="none" w:sz="0" w:space="0" w:color="auto"/>
                                <w:right w:val="none" w:sz="0" w:space="0" w:color="auto"/>
                              </w:divBdr>
                              <w:divsChild>
                                <w:div w:id="1227258989">
                                  <w:marLeft w:val="0"/>
                                  <w:marRight w:val="0"/>
                                  <w:marTop w:val="0"/>
                                  <w:marBottom w:val="0"/>
                                  <w:divBdr>
                                    <w:top w:val="none" w:sz="0" w:space="0" w:color="auto"/>
                                    <w:left w:val="none" w:sz="0" w:space="0" w:color="auto"/>
                                    <w:bottom w:val="none" w:sz="0" w:space="0" w:color="auto"/>
                                    <w:right w:val="none" w:sz="0" w:space="0" w:color="auto"/>
                                  </w:divBdr>
                                  <w:divsChild>
                                    <w:div w:id="1810316861">
                                      <w:marLeft w:val="0"/>
                                      <w:marRight w:val="0"/>
                                      <w:marTop w:val="0"/>
                                      <w:marBottom w:val="225"/>
                                      <w:divBdr>
                                        <w:top w:val="none" w:sz="0" w:space="0" w:color="auto"/>
                                        <w:left w:val="none" w:sz="0" w:space="0" w:color="auto"/>
                                        <w:bottom w:val="none" w:sz="0" w:space="0" w:color="auto"/>
                                        <w:right w:val="none" w:sz="0" w:space="0" w:color="auto"/>
                                      </w:divBdr>
                                      <w:divsChild>
                                        <w:div w:id="45953337">
                                          <w:marLeft w:val="0"/>
                                          <w:marRight w:val="0"/>
                                          <w:marTop w:val="0"/>
                                          <w:marBottom w:val="0"/>
                                          <w:divBdr>
                                            <w:top w:val="single" w:sz="6" w:space="8" w:color="CCCCCC"/>
                                            <w:left w:val="single" w:sz="6" w:space="23" w:color="CCCCCC"/>
                                            <w:bottom w:val="single" w:sz="6" w:space="8" w:color="CCCCCC"/>
                                            <w:right w:val="single" w:sz="6" w:space="23" w:color="CCCCCC"/>
                                          </w:divBdr>
                                          <w:divsChild>
                                            <w:div w:id="746612079">
                                              <w:marLeft w:val="0"/>
                                              <w:marRight w:val="0"/>
                                              <w:marTop w:val="0"/>
                                              <w:marBottom w:val="0"/>
                                              <w:divBdr>
                                                <w:top w:val="none" w:sz="0" w:space="0" w:color="auto"/>
                                                <w:left w:val="none" w:sz="0" w:space="0" w:color="auto"/>
                                                <w:bottom w:val="none" w:sz="0" w:space="0" w:color="auto"/>
                                                <w:right w:val="none" w:sz="0" w:space="0" w:color="auto"/>
                                              </w:divBdr>
                                              <w:divsChild>
                                                <w:div w:id="1134519921">
                                                  <w:marLeft w:val="0"/>
                                                  <w:marRight w:val="0"/>
                                                  <w:marTop w:val="0"/>
                                                  <w:marBottom w:val="0"/>
                                                  <w:divBdr>
                                                    <w:top w:val="none" w:sz="0" w:space="0" w:color="auto"/>
                                                    <w:left w:val="none" w:sz="0" w:space="0" w:color="auto"/>
                                                    <w:bottom w:val="none" w:sz="0" w:space="0" w:color="auto"/>
                                                    <w:right w:val="none" w:sz="0" w:space="0" w:color="auto"/>
                                                  </w:divBdr>
                                                  <w:divsChild>
                                                    <w:div w:id="1550386435">
                                                      <w:marLeft w:val="0"/>
                                                      <w:marRight w:val="0"/>
                                                      <w:marTop w:val="0"/>
                                                      <w:marBottom w:val="0"/>
                                                      <w:divBdr>
                                                        <w:top w:val="none" w:sz="0" w:space="0" w:color="auto"/>
                                                        <w:left w:val="none" w:sz="0" w:space="0" w:color="auto"/>
                                                        <w:bottom w:val="none" w:sz="0" w:space="0" w:color="auto"/>
                                                        <w:right w:val="none" w:sz="0" w:space="0" w:color="auto"/>
                                                      </w:divBdr>
                                                      <w:divsChild>
                                                        <w:div w:id="4558030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9538135">
      <w:bodyDiv w:val="1"/>
      <w:marLeft w:val="0"/>
      <w:marRight w:val="0"/>
      <w:marTop w:val="0"/>
      <w:marBottom w:val="0"/>
      <w:divBdr>
        <w:top w:val="none" w:sz="0" w:space="0" w:color="auto"/>
        <w:left w:val="none" w:sz="0" w:space="0" w:color="auto"/>
        <w:bottom w:val="none" w:sz="0" w:space="0" w:color="auto"/>
        <w:right w:val="none" w:sz="0" w:space="0" w:color="auto"/>
      </w:divBdr>
      <w:divsChild>
        <w:div w:id="2043434766">
          <w:marLeft w:val="0"/>
          <w:marRight w:val="0"/>
          <w:marTop w:val="0"/>
          <w:marBottom w:val="0"/>
          <w:divBdr>
            <w:top w:val="none" w:sz="0" w:space="0" w:color="auto"/>
            <w:left w:val="none" w:sz="0" w:space="0" w:color="auto"/>
            <w:bottom w:val="none" w:sz="0" w:space="0" w:color="auto"/>
            <w:right w:val="none" w:sz="0" w:space="0" w:color="auto"/>
          </w:divBdr>
          <w:divsChild>
            <w:div w:id="189420600">
              <w:marLeft w:val="0"/>
              <w:marRight w:val="0"/>
              <w:marTop w:val="0"/>
              <w:marBottom w:val="0"/>
              <w:divBdr>
                <w:top w:val="none" w:sz="0" w:space="0" w:color="auto"/>
                <w:left w:val="none" w:sz="0" w:space="0" w:color="auto"/>
                <w:bottom w:val="none" w:sz="0" w:space="0" w:color="auto"/>
                <w:right w:val="none" w:sz="0" w:space="0" w:color="auto"/>
              </w:divBdr>
              <w:divsChild>
                <w:div w:id="1603024483">
                  <w:marLeft w:val="0"/>
                  <w:marRight w:val="0"/>
                  <w:marTop w:val="0"/>
                  <w:marBottom w:val="0"/>
                  <w:divBdr>
                    <w:top w:val="none" w:sz="0" w:space="0" w:color="auto"/>
                    <w:left w:val="none" w:sz="0" w:space="0" w:color="auto"/>
                    <w:bottom w:val="none" w:sz="0" w:space="0" w:color="auto"/>
                    <w:right w:val="none" w:sz="0" w:space="0" w:color="auto"/>
                  </w:divBdr>
                  <w:divsChild>
                    <w:div w:id="1625767462">
                      <w:marLeft w:val="0"/>
                      <w:marRight w:val="0"/>
                      <w:marTop w:val="0"/>
                      <w:marBottom w:val="0"/>
                      <w:divBdr>
                        <w:top w:val="none" w:sz="0" w:space="0" w:color="auto"/>
                        <w:left w:val="none" w:sz="0" w:space="0" w:color="auto"/>
                        <w:bottom w:val="none" w:sz="0" w:space="0" w:color="auto"/>
                        <w:right w:val="none" w:sz="0" w:space="0" w:color="auto"/>
                      </w:divBdr>
                      <w:divsChild>
                        <w:div w:id="1546403540">
                          <w:marLeft w:val="0"/>
                          <w:marRight w:val="0"/>
                          <w:marTop w:val="0"/>
                          <w:marBottom w:val="0"/>
                          <w:divBdr>
                            <w:top w:val="none" w:sz="0" w:space="0" w:color="auto"/>
                            <w:left w:val="none" w:sz="0" w:space="0" w:color="auto"/>
                            <w:bottom w:val="none" w:sz="0" w:space="0" w:color="auto"/>
                            <w:right w:val="none" w:sz="0" w:space="0" w:color="auto"/>
                          </w:divBdr>
                          <w:divsChild>
                            <w:div w:id="1631477342">
                              <w:marLeft w:val="0"/>
                              <w:marRight w:val="0"/>
                              <w:marTop w:val="0"/>
                              <w:marBottom w:val="0"/>
                              <w:divBdr>
                                <w:top w:val="none" w:sz="0" w:space="0" w:color="auto"/>
                                <w:left w:val="none" w:sz="0" w:space="0" w:color="auto"/>
                                <w:bottom w:val="none" w:sz="0" w:space="0" w:color="auto"/>
                                <w:right w:val="none" w:sz="0" w:space="0" w:color="auto"/>
                              </w:divBdr>
                              <w:divsChild>
                                <w:div w:id="1902213408">
                                  <w:marLeft w:val="0"/>
                                  <w:marRight w:val="0"/>
                                  <w:marTop w:val="0"/>
                                  <w:marBottom w:val="0"/>
                                  <w:divBdr>
                                    <w:top w:val="none" w:sz="0" w:space="0" w:color="auto"/>
                                    <w:left w:val="none" w:sz="0" w:space="0" w:color="auto"/>
                                    <w:bottom w:val="none" w:sz="0" w:space="0" w:color="auto"/>
                                    <w:right w:val="none" w:sz="0" w:space="0" w:color="auto"/>
                                  </w:divBdr>
                                  <w:divsChild>
                                    <w:div w:id="636421216">
                                      <w:marLeft w:val="0"/>
                                      <w:marRight w:val="0"/>
                                      <w:marTop w:val="0"/>
                                      <w:marBottom w:val="225"/>
                                      <w:divBdr>
                                        <w:top w:val="none" w:sz="0" w:space="0" w:color="auto"/>
                                        <w:left w:val="none" w:sz="0" w:space="0" w:color="auto"/>
                                        <w:bottom w:val="none" w:sz="0" w:space="0" w:color="auto"/>
                                        <w:right w:val="none" w:sz="0" w:space="0" w:color="auto"/>
                                      </w:divBdr>
                                      <w:divsChild>
                                        <w:div w:id="1572958260">
                                          <w:marLeft w:val="0"/>
                                          <w:marRight w:val="0"/>
                                          <w:marTop w:val="0"/>
                                          <w:marBottom w:val="0"/>
                                          <w:divBdr>
                                            <w:top w:val="single" w:sz="6" w:space="8" w:color="CCCCCC"/>
                                            <w:left w:val="single" w:sz="6" w:space="23" w:color="CCCCCC"/>
                                            <w:bottom w:val="single" w:sz="6" w:space="8" w:color="CCCCCC"/>
                                            <w:right w:val="single" w:sz="6" w:space="23" w:color="CCCCCC"/>
                                          </w:divBdr>
                                          <w:divsChild>
                                            <w:div w:id="1100494320">
                                              <w:marLeft w:val="0"/>
                                              <w:marRight w:val="0"/>
                                              <w:marTop w:val="0"/>
                                              <w:marBottom w:val="0"/>
                                              <w:divBdr>
                                                <w:top w:val="none" w:sz="0" w:space="0" w:color="auto"/>
                                                <w:left w:val="none" w:sz="0" w:space="0" w:color="auto"/>
                                                <w:bottom w:val="none" w:sz="0" w:space="0" w:color="auto"/>
                                                <w:right w:val="none" w:sz="0" w:space="0" w:color="auto"/>
                                              </w:divBdr>
                                              <w:divsChild>
                                                <w:div w:id="2142068422">
                                                  <w:marLeft w:val="0"/>
                                                  <w:marRight w:val="0"/>
                                                  <w:marTop w:val="150"/>
                                                  <w:marBottom w:val="150"/>
                                                  <w:divBdr>
                                                    <w:top w:val="none" w:sz="0" w:space="0" w:color="auto"/>
                                                    <w:left w:val="none" w:sz="0" w:space="0" w:color="auto"/>
                                                    <w:bottom w:val="none" w:sz="0" w:space="0" w:color="auto"/>
                                                    <w:right w:val="none" w:sz="0" w:space="0" w:color="auto"/>
                                                  </w:divBdr>
                                                </w:div>
                                                <w:div w:id="436759194">
                                                  <w:marLeft w:val="0"/>
                                                  <w:marRight w:val="0"/>
                                                  <w:marTop w:val="0"/>
                                                  <w:marBottom w:val="0"/>
                                                  <w:divBdr>
                                                    <w:top w:val="none" w:sz="0" w:space="0" w:color="auto"/>
                                                    <w:left w:val="none" w:sz="0" w:space="0" w:color="auto"/>
                                                    <w:bottom w:val="none" w:sz="0" w:space="0" w:color="auto"/>
                                                    <w:right w:val="none" w:sz="0" w:space="0" w:color="auto"/>
                                                  </w:divBdr>
                                                  <w:divsChild>
                                                    <w:div w:id="1924601946">
                                                      <w:marLeft w:val="0"/>
                                                      <w:marRight w:val="0"/>
                                                      <w:marTop w:val="0"/>
                                                      <w:marBottom w:val="0"/>
                                                      <w:divBdr>
                                                        <w:top w:val="none" w:sz="0" w:space="0" w:color="auto"/>
                                                        <w:left w:val="none" w:sz="0" w:space="0" w:color="auto"/>
                                                        <w:bottom w:val="none" w:sz="0" w:space="0" w:color="auto"/>
                                                        <w:right w:val="none" w:sz="0" w:space="0" w:color="auto"/>
                                                      </w:divBdr>
                                                    </w:div>
                                                    <w:div w:id="10248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ich.edu/admissions/undergrad/visit/Pages/Centralis.aspx" TargetMode="External"/><Relationship Id="rId3" Type="http://schemas.microsoft.com/office/2007/relationships/stylesWithEffects" Target="stylesWithEffects.xml"/><Relationship Id="rId7" Type="http://schemas.openxmlformats.org/officeDocument/2006/relationships/hyperlink" Target="https://www.cmich.edu/admissions/undergrad/visit/Pages/Centrali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ich.edu/ess/OSFA/Pages/CMU_Scholarships.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ich.edu/admissions/undergrad/visit/Pages/Centrali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CONNER</dc:creator>
  <cp:lastModifiedBy>JOHN CONNER</cp:lastModifiedBy>
  <cp:revision>2</cp:revision>
  <dcterms:created xsi:type="dcterms:W3CDTF">2013-10-01T13:20:00Z</dcterms:created>
  <dcterms:modified xsi:type="dcterms:W3CDTF">2013-10-01T15:20:00Z</dcterms:modified>
</cp:coreProperties>
</file>